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1264" w14:textId="3A6D4992" w:rsidR="005B21EE" w:rsidRPr="003B6C00" w:rsidRDefault="006C45D6" w:rsidP="00732116">
      <w:pPr>
        <w:jc w:val="center"/>
        <w:rPr>
          <w:rFonts w:ascii="Verdana" w:hAnsi="Verdana"/>
          <w:b/>
          <w:sz w:val="20"/>
          <w:szCs w:val="20"/>
          <w:u w:val="single"/>
          <w:lang w:val="es-ES"/>
        </w:rPr>
      </w:pPr>
      <w:r w:rsidRPr="006C45D6">
        <w:rPr>
          <w:rFonts w:ascii="Verdana" w:eastAsia="MS Mincho" w:hAnsi="Verdana"/>
          <w:b/>
          <w:sz w:val="20"/>
          <w:szCs w:val="20"/>
          <w:u w:val="single"/>
        </w:rPr>
        <w:t>Caso Ruiz Fuentes y otra Vs. Guatemala</w:t>
      </w:r>
      <w:r w:rsidR="009736E9" w:rsidRPr="003B6C00">
        <w:rPr>
          <w:rFonts w:ascii="Verdana" w:eastAsia="MS Mincho" w:hAnsi="Verdana"/>
          <w:b/>
          <w:sz w:val="20"/>
          <w:szCs w:val="20"/>
          <w:u w:val="single"/>
        </w:rPr>
        <w:t xml:space="preserve">: </w:t>
      </w:r>
      <w:r w:rsidR="009736E9" w:rsidRPr="003B6C00">
        <w:rPr>
          <w:rFonts w:ascii="Verdana" w:hAnsi="Verdana"/>
          <w:b/>
          <w:sz w:val="20"/>
          <w:szCs w:val="20"/>
          <w:u w:val="single"/>
          <w:lang w:val="es-ES"/>
        </w:rPr>
        <w:t>reparaciones declaradas cumplidas</w:t>
      </w:r>
    </w:p>
    <w:p w14:paraId="15A243B3" w14:textId="59D4BCE5" w:rsidR="005B21EE" w:rsidRPr="0050628A" w:rsidRDefault="006C45D6" w:rsidP="00732116">
      <w:pPr>
        <w:pStyle w:val="Prrafodelista"/>
        <w:numPr>
          <w:ilvl w:val="0"/>
          <w:numId w:val="2"/>
        </w:numPr>
        <w:spacing w:before="240" w:after="40"/>
        <w:ind w:left="0" w:firstLine="0"/>
        <w:rPr>
          <w:lang w:val="es-CR"/>
        </w:rPr>
      </w:pPr>
      <w:r>
        <w:t>Realizar las publicaciones indicadas en el párrafo 206 de la presente Sentencia.</w:t>
      </w:r>
    </w:p>
    <w:p w14:paraId="515F94ED" w14:textId="77777777" w:rsidR="0050628A" w:rsidRPr="0050628A" w:rsidRDefault="0050628A" w:rsidP="0050628A">
      <w:pPr>
        <w:pStyle w:val="Prrafodelista"/>
        <w:spacing w:after="40"/>
        <w:ind w:left="0"/>
        <w:rPr>
          <w:lang w:val="es-CR"/>
        </w:rPr>
      </w:pPr>
    </w:p>
    <w:p w14:paraId="531814D5" w14:textId="74B0B71A" w:rsidR="006C45D6" w:rsidRPr="006C45D6" w:rsidRDefault="006C45D6" w:rsidP="006C45D6">
      <w:pPr>
        <w:pStyle w:val="Prrafodelista"/>
        <w:numPr>
          <w:ilvl w:val="0"/>
          <w:numId w:val="2"/>
        </w:numPr>
        <w:spacing w:after="40"/>
        <w:ind w:left="0" w:firstLine="0"/>
        <w:rPr>
          <w:lang w:val="es-CR"/>
        </w:rPr>
      </w:pPr>
      <w:r>
        <w:t xml:space="preserve">Incluir, </w:t>
      </w:r>
      <w:r w:rsidR="00732116" w:rsidRPr="00732116">
        <w:t>dentro de los cursos de formación de los miembros de la policía y organismos de seguridad, capacitación específica y cursos de carácter permanente sobre la prohibición absoluta de la tortura</w:t>
      </w:r>
      <w:r>
        <w:t>.</w:t>
      </w:r>
    </w:p>
    <w:p w14:paraId="1ECE8CF0" w14:textId="77777777" w:rsidR="006C45D6" w:rsidRPr="006C45D6" w:rsidRDefault="006C45D6" w:rsidP="006C45D6">
      <w:pPr>
        <w:pStyle w:val="Prrafodelista"/>
        <w:rPr>
          <w:lang w:val="es-CR"/>
        </w:rPr>
      </w:pPr>
    </w:p>
    <w:p w14:paraId="35231AF9" w14:textId="17052835" w:rsidR="006C45D6" w:rsidRPr="006C45D6" w:rsidRDefault="006C45D6" w:rsidP="006C45D6">
      <w:pPr>
        <w:pStyle w:val="Prrafodelista"/>
        <w:numPr>
          <w:ilvl w:val="0"/>
          <w:numId w:val="2"/>
        </w:numPr>
        <w:spacing w:after="40"/>
        <w:ind w:left="0" w:firstLine="0"/>
        <w:rPr>
          <w:lang w:val="es-CR"/>
        </w:rPr>
      </w:pPr>
      <w:r>
        <w:t>Pagar las cantidades fijadas en los párrafos 245 y 246 de la presente Sentencia por concepto de indemnización por daño inmaterial.</w:t>
      </w:r>
    </w:p>
    <w:p w14:paraId="337E0972" w14:textId="77777777" w:rsidR="0050628A" w:rsidRPr="0050628A" w:rsidRDefault="0050628A" w:rsidP="0050628A">
      <w:pPr>
        <w:pStyle w:val="Prrafodelista"/>
        <w:spacing w:after="40"/>
        <w:ind w:left="0"/>
        <w:rPr>
          <w:lang w:val="es-CR"/>
        </w:rPr>
      </w:pPr>
    </w:p>
    <w:p w14:paraId="221A48D1" w14:textId="59F8A926" w:rsidR="0050628A" w:rsidRPr="003625DB" w:rsidRDefault="0050628A" w:rsidP="0050628A">
      <w:pPr>
        <w:pStyle w:val="Prrafodelista"/>
        <w:numPr>
          <w:ilvl w:val="0"/>
          <w:numId w:val="2"/>
        </w:numPr>
        <w:spacing w:after="40"/>
        <w:ind w:left="0" w:firstLine="0"/>
        <w:rPr>
          <w:lang w:val="es-CR"/>
        </w:rPr>
      </w:pPr>
      <w:r>
        <w:t>Reintegrar al Fondo de Asistencia Legal de Víctimas de la Corte Interamericana de Derechos Humanos la cantidad erogada durante la tramitación del presente caso, en los términos del párrafo 255 de esta Sentencia.</w:t>
      </w:r>
    </w:p>
    <w:p w14:paraId="1F9931CC" w14:textId="77777777" w:rsidR="006C45D6" w:rsidRPr="006C45D6" w:rsidRDefault="006C45D6" w:rsidP="006C45D6">
      <w:pPr>
        <w:rPr>
          <w:spacing w:val="-2"/>
          <w:szCs w:val="20"/>
          <w:lang w:val="es-PR"/>
        </w:rPr>
      </w:pPr>
    </w:p>
    <w:p w14:paraId="2AD2D7CF" w14:textId="053D30CF" w:rsidR="006C45D6" w:rsidRPr="009736E9" w:rsidRDefault="006C45D6" w:rsidP="006C45D6">
      <w:pPr>
        <w:rPr>
          <w:rFonts w:eastAsia="MS Mincho"/>
          <w:u w:val="single"/>
        </w:rPr>
      </w:pPr>
    </w:p>
    <w:sectPr w:rsidR="006C45D6" w:rsidRPr="009736E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768D" w14:textId="77777777" w:rsidR="00AD201E" w:rsidRDefault="00AD201E" w:rsidP="003B6C00">
      <w:pPr>
        <w:spacing w:after="0" w:line="240" w:lineRule="auto"/>
      </w:pPr>
      <w:r>
        <w:separator/>
      </w:r>
    </w:p>
  </w:endnote>
  <w:endnote w:type="continuationSeparator" w:id="0">
    <w:p w14:paraId="3B227A61" w14:textId="77777777" w:rsidR="00AD201E" w:rsidRDefault="00AD201E" w:rsidP="003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F4E6" w14:textId="77777777" w:rsidR="003B6C00" w:rsidRPr="00A950A1" w:rsidRDefault="003B6C00" w:rsidP="003B6C0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69EDD57" w14:textId="77777777" w:rsidR="003B6C00" w:rsidRDefault="003B6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3272" w14:textId="77777777" w:rsidR="00AD201E" w:rsidRDefault="00AD201E" w:rsidP="003B6C00">
      <w:pPr>
        <w:spacing w:after="0" w:line="240" w:lineRule="auto"/>
      </w:pPr>
      <w:r>
        <w:separator/>
      </w:r>
    </w:p>
  </w:footnote>
  <w:footnote w:type="continuationSeparator" w:id="0">
    <w:p w14:paraId="415BD718" w14:textId="77777777" w:rsidR="00AD201E" w:rsidRDefault="00AD201E" w:rsidP="003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3689674">
    <w:abstractNumId w:val="1"/>
  </w:num>
  <w:num w:numId="2" w16cid:durableId="37381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9"/>
    <w:rsid w:val="00206F16"/>
    <w:rsid w:val="003B6C00"/>
    <w:rsid w:val="0050628A"/>
    <w:rsid w:val="005B21EE"/>
    <w:rsid w:val="006C45D6"/>
    <w:rsid w:val="00707DF0"/>
    <w:rsid w:val="00732116"/>
    <w:rsid w:val="0075214D"/>
    <w:rsid w:val="008A7C8F"/>
    <w:rsid w:val="009736E9"/>
    <w:rsid w:val="00AD201E"/>
    <w:rsid w:val="00B13E36"/>
    <w:rsid w:val="00F618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BB5"/>
  <w15:chartTrackingRefBased/>
  <w15:docId w15:val="{035BA445-6885-46E4-9E67-7AA6999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1EE"/>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5B21EE"/>
    <w:pPr>
      <w:spacing w:after="0" w:line="240" w:lineRule="auto"/>
      <w:ind w:left="720"/>
      <w:contextualSpacing/>
      <w:jc w:val="both"/>
    </w:pPr>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3B6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00"/>
  </w:style>
  <w:style w:type="paragraph" w:styleId="Piedepgina">
    <w:name w:val="footer"/>
    <w:basedOn w:val="Normal"/>
    <w:link w:val="PiedepginaCar"/>
    <w:uiPriority w:val="99"/>
    <w:unhideWhenUsed/>
    <w:rsid w:val="003B6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00"/>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6C45D6"/>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2024-12-20T21:42:00Z</dcterms:created>
  <dcterms:modified xsi:type="dcterms:W3CDTF">2024-12-20T21:42:00Z</dcterms:modified>
</cp:coreProperties>
</file>